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D1B3" w14:textId="64FEF445" w:rsidR="00907A8A" w:rsidRPr="00907A8A" w:rsidRDefault="00907A8A" w:rsidP="00907A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07A8A">
        <w:rPr>
          <w:rFonts w:ascii="Arial" w:hAnsi="Arial" w:cs="Arial"/>
          <w:bCs/>
          <w:spacing w:val="-3"/>
          <w:sz w:val="22"/>
          <w:szCs w:val="22"/>
        </w:rPr>
        <w:t xml:space="preserve">On 29 May 2017, the Coal Workers’ Pneumoconiosis Select Committee tabled its Report No. 2 – Inquiry into the re-identification of Coal Workers’ Pneumoconiosis in Queensland. </w:t>
      </w:r>
    </w:p>
    <w:p w14:paraId="30F3888F" w14:textId="77777777" w:rsidR="00907A8A" w:rsidRPr="00907A8A" w:rsidRDefault="00907A8A" w:rsidP="00907A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A8A">
        <w:rPr>
          <w:rFonts w:ascii="Arial" w:hAnsi="Arial" w:cs="Arial"/>
          <w:bCs/>
          <w:spacing w:val="-3"/>
          <w:sz w:val="22"/>
          <w:szCs w:val="22"/>
        </w:rPr>
        <w:t xml:space="preserve">The Queensland Government’s response to the Coal Workers’ Pneumoconiosis Select Committee’s report was tabled on 8 September 2017. </w:t>
      </w:r>
    </w:p>
    <w:p w14:paraId="09CAA933" w14:textId="77777777" w:rsidR="00907A8A" w:rsidRDefault="00907A8A" w:rsidP="00907A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7A8A">
        <w:rPr>
          <w:rFonts w:ascii="Arial" w:hAnsi="Arial" w:cs="Arial"/>
          <w:bCs/>
          <w:spacing w:val="-3"/>
          <w:sz w:val="22"/>
          <w:szCs w:val="22"/>
        </w:rPr>
        <w:t>The government’s response committed to establishing a Project Management Office</w:t>
      </w:r>
      <w:r w:rsidR="00865D7F">
        <w:rPr>
          <w:rFonts w:ascii="Arial" w:hAnsi="Arial" w:cs="Arial"/>
          <w:bCs/>
          <w:spacing w:val="-3"/>
          <w:sz w:val="22"/>
          <w:szCs w:val="22"/>
        </w:rPr>
        <w:t>,</w:t>
      </w:r>
      <w:r w:rsidR="00865D7F" w:rsidRPr="00865D7F">
        <w:rPr>
          <w:rFonts w:ascii="Arial" w:hAnsi="Arial" w:cs="Arial"/>
          <w:bCs/>
          <w:spacing w:val="-3"/>
          <w:sz w:val="22"/>
          <w:szCs w:val="22"/>
        </w:rPr>
        <w:t xml:space="preserve"> led by a person independent of existing government agency structures (P</w:t>
      </w:r>
      <w:r w:rsidR="0073221C">
        <w:rPr>
          <w:rFonts w:ascii="Arial" w:hAnsi="Arial" w:cs="Arial"/>
          <w:bCs/>
          <w:spacing w:val="-3"/>
          <w:sz w:val="22"/>
          <w:szCs w:val="22"/>
        </w:rPr>
        <w:t>roject Management Office</w:t>
      </w:r>
      <w:r w:rsidR="00865D7F" w:rsidRPr="00865D7F">
        <w:rPr>
          <w:rFonts w:ascii="Arial" w:hAnsi="Arial" w:cs="Arial"/>
          <w:bCs/>
          <w:spacing w:val="-3"/>
          <w:sz w:val="22"/>
          <w:szCs w:val="22"/>
        </w:rPr>
        <w:t xml:space="preserve"> Executive),</w:t>
      </w:r>
      <w:r w:rsidR="0075566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07A8A">
        <w:rPr>
          <w:rFonts w:ascii="Arial" w:hAnsi="Arial" w:cs="Arial"/>
          <w:bCs/>
          <w:spacing w:val="-3"/>
          <w:sz w:val="22"/>
          <w:szCs w:val="22"/>
        </w:rPr>
        <w:t>to undertake consultation with stakeholders and to develop options for the Minister for Natural Resources, Mines and Energy on alternative regulator models and an appropriate model to fund the regulator.</w:t>
      </w:r>
    </w:p>
    <w:p w14:paraId="3EC9B570" w14:textId="77777777" w:rsidR="005F4EC0" w:rsidRPr="00907A8A" w:rsidRDefault="005F4EC0" w:rsidP="00907A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4EC0">
        <w:rPr>
          <w:rFonts w:ascii="Arial" w:hAnsi="Arial" w:cs="Arial"/>
          <w:bCs/>
          <w:spacing w:val="-3"/>
          <w:sz w:val="22"/>
          <w:szCs w:val="22"/>
        </w:rPr>
        <w:t>Stakeholder consultation has been the centrepiec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 of the work program of the </w:t>
      </w:r>
      <w:r w:rsidR="00755663">
        <w:rPr>
          <w:rFonts w:ascii="Arial" w:hAnsi="Arial" w:cs="Arial"/>
          <w:bCs/>
          <w:spacing w:val="-3"/>
          <w:sz w:val="22"/>
          <w:szCs w:val="22"/>
        </w:rPr>
        <w:t>Project Management Office</w:t>
      </w:r>
      <w:r w:rsidRPr="005F4EC0">
        <w:rPr>
          <w:rFonts w:ascii="Arial" w:hAnsi="Arial" w:cs="Arial"/>
          <w:bCs/>
          <w:spacing w:val="-3"/>
          <w:sz w:val="22"/>
          <w:szCs w:val="22"/>
        </w:rPr>
        <w:t>. Bet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ween March and May 2018, the </w:t>
      </w:r>
      <w:r w:rsidR="00755663">
        <w:rPr>
          <w:rFonts w:ascii="Arial" w:hAnsi="Arial" w:cs="Arial"/>
          <w:bCs/>
          <w:spacing w:val="-3"/>
          <w:sz w:val="22"/>
          <w:szCs w:val="22"/>
        </w:rPr>
        <w:t>Project Management Office</w:t>
      </w:r>
      <w:r w:rsidRPr="005F4EC0">
        <w:rPr>
          <w:rFonts w:ascii="Arial" w:hAnsi="Arial" w:cs="Arial"/>
          <w:bCs/>
          <w:spacing w:val="-3"/>
          <w:sz w:val="22"/>
          <w:szCs w:val="22"/>
        </w:rPr>
        <w:t xml:space="preserve"> released </w:t>
      </w:r>
      <w:r>
        <w:rPr>
          <w:rFonts w:ascii="Arial" w:hAnsi="Arial" w:cs="Arial"/>
          <w:bCs/>
          <w:spacing w:val="-3"/>
          <w:sz w:val="22"/>
          <w:szCs w:val="22"/>
        </w:rPr>
        <w:t>a number of</w:t>
      </w:r>
      <w:r w:rsidRPr="005F4EC0">
        <w:rPr>
          <w:rFonts w:ascii="Arial" w:hAnsi="Arial" w:cs="Arial"/>
          <w:bCs/>
          <w:spacing w:val="-3"/>
          <w:sz w:val="22"/>
          <w:szCs w:val="22"/>
        </w:rPr>
        <w:t xml:space="preserve"> discussion papers </w:t>
      </w:r>
      <w:r w:rsidR="00A4374D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5F4EC0">
        <w:rPr>
          <w:rFonts w:ascii="Arial" w:hAnsi="Arial" w:cs="Arial"/>
          <w:bCs/>
          <w:spacing w:val="-3"/>
          <w:sz w:val="22"/>
          <w:szCs w:val="22"/>
        </w:rPr>
        <w:t xml:space="preserve">focus papers for public consultation. The </w:t>
      </w:r>
      <w:r w:rsidR="00755663">
        <w:rPr>
          <w:rFonts w:ascii="Arial" w:hAnsi="Arial" w:cs="Arial"/>
          <w:bCs/>
          <w:spacing w:val="-3"/>
          <w:sz w:val="22"/>
          <w:szCs w:val="22"/>
        </w:rPr>
        <w:t>Project Management Office</w:t>
      </w:r>
      <w:r w:rsidRPr="005F4EC0">
        <w:rPr>
          <w:rFonts w:ascii="Arial" w:hAnsi="Arial" w:cs="Arial"/>
          <w:bCs/>
          <w:spacing w:val="-3"/>
          <w:sz w:val="22"/>
          <w:szCs w:val="22"/>
        </w:rPr>
        <w:t xml:space="preserve"> also undertook face-to-face meetings, held public information forums and implemented open house information sessions with stakeholders.</w:t>
      </w:r>
    </w:p>
    <w:p w14:paraId="5B424E18" w14:textId="77777777" w:rsidR="00907A8A" w:rsidRPr="00907A8A" w:rsidRDefault="00907A8A" w:rsidP="00907A8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June 2018, the Project Management Office</w:t>
      </w:r>
      <w:r w:rsidRPr="00907A8A">
        <w:rPr>
          <w:rFonts w:ascii="Arial" w:hAnsi="Arial" w:cs="Arial"/>
          <w:bCs/>
          <w:spacing w:val="-3"/>
          <w:sz w:val="22"/>
          <w:szCs w:val="22"/>
        </w:rPr>
        <w:t xml:space="preserve"> completed its work program and finalised a report - Queensland Resources Safety and Health regulator and funding models. The report </w:t>
      </w:r>
      <w:r w:rsidR="00755663">
        <w:rPr>
          <w:rFonts w:ascii="Arial" w:hAnsi="Arial" w:cs="Arial"/>
          <w:bCs/>
          <w:spacing w:val="-3"/>
          <w:sz w:val="22"/>
          <w:szCs w:val="22"/>
        </w:rPr>
        <w:t>forms the Project Management Office’s</w:t>
      </w:r>
      <w:r w:rsidRPr="00907A8A">
        <w:rPr>
          <w:rFonts w:ascii="Arial" w:hAnsi="Arial" w:cs="Arial"/>
          <w:bCs/>
          <w:spacing w:val="-3"/>
          <w:sz w:val="22"/>
          <w:szCs w:val="22"/>
        </w:rPr>
        <w:t xml:space="preserve"> advice on recommended regulator and funding models. </w:t>
      </w:r>
    </w:p>
    <w:p w14:paraId="19BAE8B4" w14:textId="77777777" w:rsidR="00BC6952" w:rsidRDefault="005F4EC0" w:rsidP="002B64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2B6459">
        <w:rPr>
          <w:rFonts w:ascii="Arial" w:hAnsi="Arial" w:cs="Arial"/>
          <w:sz w:val="22"/>
          <w:szCs w:val="22"/>
          <w:u w:val="single"/>
        </w:rPr>
        <w:t>approved</w:t>
      </w:r>
      <w:r w:rsidR="00755663" w:rsidRPr="00755663">
        <w:t xml:space="preserve"> </w:t>
      </w:r>
      <w:r w:rsidR="00F1631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B6459">
        <w:rPr>
          <w:rFonts w:ascii="Arial" w:hAnsi="Arial" w:cs="Arial"/>
          <w:bCs/>
          <w:spacing w:val="-3"/>
          <w:sz w:val="22"/>
          <w:szCs w:val="22"/>
        </w:rPr>
        <w:t xml:space="preserve">public release of the </w:t>
      </w:r>
      <w:r w:rsidR="00F16319">
        <w:rPr>
          <w:rFonts w:ascii="Arial" w:hAnsi="Arial" w:cs="Arial"/>
          <w:bCs/>
          <w:spacing w:val="-3"/>
          <w:sz w:val="22"/>
          <w:szCs w:val="22"/>
        </w:rPr>
        <w:t>r</w:t>
      </w:r>
      <w:r w:rsidR="00F16319" w:rsidRPr="00755663">
        <w:rPr>
          <w:rFonts w:ascii="Arial" w:hAnsi="Arial" w:cs="Arial"/>
          <w:bCs/>
          <w:spacing w:val="-3"/>
          <w:sz w:val="22"/>
          <w:szCs w:val="22"/>
        </w:rPr>
        <w:t>eport</w:t>
      </w:r>
      <w:r w:rsidR="00755663" w:rsidRPr="00755663">
        <w:rPr>
          <w:rFonts w:ascii="Arial" w:hAnsi="Arial" w:cs="Arial"/>
          <w:bCs/>
          <w:spacing w:val="-3"/>
          <w:sz w:val="22"/>
          <w:szCs w:val="22"/>
        </w:rPr>
        <w:t xml:space="preserve"> prepared by the Project Management Office </w:t>
      </w:r>
      <w:r w:rsidR="002B6459">
        <w:rPr>
          <w:rFonts w:ascii="Arial" w:hAnsi="Arial" w:cs="Arial"/>
          <w:bCs/>
          <w:spacing w:val="-3"/>
          <w:sz w:val="22"/>
          <w:szCs w:val="22"/>
        </w:rPr>
        <w:t xml:space="preserve">- </w:t>
      </w:r>
      <w:r w:rsidR="002B6459" w:rsidRPr="002B6459">
        <w:rPr>
          <w:rFonts w:ascii="Arial" w:hAnsi="Arial" w:cs="Arial"/>
          <w:bCs/>
          <w:i/>
          <w:spacing w:val="-3"/>
          <w:sz w:val="22"/>
          <w:szCs w:val="22"/>
        </w:rPr>
        <w:t>Queensland Resources Safety and Health regulator and funding models.</w:t>
      </w:r>
      <w:r w:rsidR="002B6459" w:rsidRPr="002B645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327E1024" w14:textId="636CAEB1" w:rsidR="00C33E72" w:rsidRPr="00C33E72" w:rsidRDefault="00C33E72" w:rsidP="0081360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3E72">
        <w:rPr>
          <w:rFonts w:ascii="Arial" w:hAnsi="Arial" w:cs="Arial"/>
          <w:i/>
          <w:sz w:val="22"/>
          <w:szCs w:val="22"/>
          <w:u w:val="single"/>
        </w:rPr>
        <w:t>Attachmen</w:t>
      </w:r>
      <w:r w:rsidR="0081360D">
        <w:rPr>
          <w:rFonts w:ascii="Arial" w:hAnsi="Arial" w:cs="Arial"/>
          <w:i/>
          <w:sz w:val="22"/>
          <w:szCs w:val="22"/>
          <w:u w:val="single"/>
        </w:rPr>
        <w:t>ts</w:t>
      </w:r>
    </w:p>
    <w:p w14:paraId="293E0B3F" w14:textId="72A3CE59" w:rsidR="00C33E72" w:rsidRPr="0081360D" w:rsidRDefault="00313E96" w:rsidP="0081360D">
      <w:pPr>
        <w:pStyle w:val="ListParagraph"/>
        <w:numPr>
          <w:ilvl w:val="0"/>
          <w:numId w:val="4"/>
        </w:numPr>
        <w:tabs>
          <w:tab w:val="left" w:pos="851"/>
        </w:tabs>
        <w:spacing w:before="120"/>
        <w:ind w:left="851" w:hanging="425"/>
        <w:jc w:val="both"/>
        <w:rPr>
          <w:rFonts w:ascii="Arial" w:hAnsi="Arial" w:cs="Arial"/>
          <w:bCs/>
          <w:i/>
          <w:color w:val="auto"/>
          <w:spacing w:val="-3"/>
          <w:sz w:val="22"/>
          <w:szCs w:val="22"/>
        </w:rPr>
      </w:pPr>
      <w:hyperlink r:id="rId7" w:history="1">
        <w:r w:rsidR="00C33E72" w:rsidRPr="006E509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Queensland Resources Safety and Health regulator and funding models</w:t>
        </w:r>
      </w:hyperlink>
    </w:p>
    <w:sectPr w:rsidR="00C33E72" w:rsidRPr="0081360D" w:rsidSect="00A45DB1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D2D8" w14:textId="77777777" w:rsidR="00167BC6" w:rsidRDefault="00167BC6" w:rsidP="00D6589B">
      <w:r>
        <w:separator/>
      </w:r>
    </w:p>
  </w:endnote>
  <w:endnote w:type="continuationSeparator" w:id="0">
    <w:p w14:paraId="1526AB8A" w14:textId="77777777" w:rsidR="00167BC6" w:rsidRDefault="00167BC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7228" w14:textId="77777777" w:rsidR="00167BC6" w:rsidRDefault="00167BC6" w:rsidP="00D6589B">
      <w:r>
        <w:separator/>
      </w:r>
    </w:p>
  </w:footnote>
  <w:footnote w:type="continuationSeparator" w:id="0">
    <w:p w14:paraId="0A75A4A4" w14:textId="77777777" w:rsidR="00167BC6" w:rsidRDefault="00167BC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0220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6F470ED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A9CEBC4" w14:textId="77777777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2B6459">
      <w:rPr>
        <w:rFonts w:ascii="Arial" w:hAnsi="Arial" w:cs="Arial"/>
        <w:b/>
        <w:sz w:val="22"/>
        <w:szCs w:val="22"/>
      </w:rPr>
      <w:t xml:space="preserve"> </w:t>
    </w:r>
    <w:r w:rsidR="00637A63">
      <w:rPr>
        <w:rFonts w:ascii="Arial" w:hAnsi="Arial" w:cs="Arial"/>
        <w:b/>
        <w:sz w:val="22"/>
        <w:szCs w:val="22"/>
      </w:rPr>
      <w:t>November</w:t>
    </w:r>
    <w:r w:rsidR="00E75006">
      <w:rPr>
        <w:rFonts w:ascii="Arial" w:hAnsi="Arial" w:cs="Arial"/>
        <w:b/>
        <w:sz w:val="22"/>
        <w:szCs w:val="22"/>
      </w:rPr>
      <w:t xml:space="preserve"> 2018</w:t>
    </w:r>
  </w:p>
  <w:p w14:paraId="210DBCD6" w14:textId="77777777" w:rsidR="00907A8A" w:rsidRDefault="00907A8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07A8A">
      <w:rPr>
        <w:rFonts w:ascii="Arial" w:hAnsi="Arial" w:cs="Arial"/>
        <w:b/>
        <w:sz w:val="22"/>
        <w:szCs w:val="22"/>
        <w:u w:val="single"/>
      </w:rPr>
      <w:t xml:space="preserve">Queensland resources safety and health regulator and funding models </w:t>
    </w:r>
  </w:p>
  <w:p w14:paraId="2712102C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</w:t>
    </w:r>
    <w:r w:rsidR="00E75006">
      <w:rPr>
        <w:rFonts w:ascii="Arial" w:hAnsi="Arial" w:cs="Arial"/>
        <w:b/>
        <w:sz w:val="22"/>
        <w:szCs w:val="22"/>
        <w:u w:val="single"/>
      </w:rPr>
      <w:t>,</w:t>
    </w:r>
    <w:r w:rsidR="00791A9C">
      <w:rPr>
        <w:rFonts w:ascii="Arial" w:hAnsi="Arial" w:cs="Arial"/>
        <w:b/>
        <w:sz w:val="22"/>
        <w:szCs w:val="22"/>
        <w:u w:val="single"/>
      </w:rPr>
      <w:t xml:space="preserve"> Mines</w:t>
    </w:r>
    <w:r w:rsidR="00E75006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7B0324D3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5BCB"/>
    <w:multiLevelType w:val="hybridMultilevel"/>
    <w:tmpl w:val="F940A6E4"/>
    <w:lvl w:ilvl="0" w:tplc="DE6ED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8C098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228C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4F202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B202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863E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E65C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7E18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AE21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E0B43B8"/>
    <w:multiLevelType w:val="hybridMultilevel"/>
    <w:tmpl w:val="4C0272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9"/>
    <w:rsid w:val="000267C1"/>
    <w:rsid w:val="000430DD"/>
    <w:rsid w:val="00080F8F"/>
    <w:rsid w:val="00111C43"/>
    <w:rsid w:val="00140936"/>
    <w:rsid w:val="00167BC6"/>
    <w:rsid w:val="001A589C"/>
    <w:rsid w:val="001B06AC"/>
    <w:rsid w:val="001E209B"/>
    <w:rsid w:val="001E3136"/>
    <w:rsid w:val="0021344B"/>
    <w:rsid w:val="00252027"/>
    <w:rsid w:val="002B6459"/>
    <w:rsid w:val="00313E96"/>
    <w:rsid w:val="00331B2C"/>
    <w:rsid w:val="003B5871"/>
    <w:rsid w:val="004A2722"/>
    <w:rsid w:val="004B4D21"/>
    <w:rsid w:val="004E3AE1"/>
    <w:rsid w:val="00501C66"/>
    <w:rsid w:val="00506D9D"/>
    <w:rsid w:val="00581E80"/>
    <w:rsid w:val="005B7FD5"/>
    <w:rsid w:val="005F4EC0"/>
    <w:rsid w:val="00637A63"/>
    <w:rsid w:val="006E5096"/>
    <w:rsid w:val="0073221C"/>
    <w:rsid w:val="00732E22"/>
    <w:rsid w:val="00740EF5"/>
    <w:rsid w:val="00755663"/>
    <w:rsid w:val="00791A9C"/>
    <w:rsid w:val="0081360D"/>
    <w:rsid w:val="00865D7F"/>
    <w:rsid w:val="008A4523"/>
    <w:rsid w:val="008F44CD"/>
    <w:rsid w:val="00907A8A"/>
    <w:rsid w:val="00950178"/>
    <w:rsid w:val="00A4374D"/>
    <w:rsid w:val="00A45DB1"/>
    <w:rsid w:val="00A527A5"/>
    <w:rsid w:val="00A538EA"/>
    <w:rsid w:val="00BC6952"/>
    <w:rsid w:val="00C07656"/>
    <w:rsid w:val="00C33E72"/>
    <w:rsid w:val="00CE6FBA"/>
    <w:rsid w:val="00CF0D8A"/>
    <w:rsid w:val="00D6589B"/>
    <w:rsid w:val="00D75134"/>
    <w:rsid w:val="00DB6FE7"/>
    <w:rsid w:val="00DE5353"/>
    <w:rsid w:val="00DE61EC"/>
    <w:rsid w:val="00DF4C0B"/>
    <w:rsid w:val="00E325AF"/>
    <w:rsid w:val="00E7454F"/>
    <w:rsid w:val="00E75006"/>
    <w:rsid w:val="00F10DF9"/>
    <w:rsid w:val="00F16319"/>
    <w:rsid w:val="00F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79C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A8A"/>
    <w:pPr>
      <w:ind w:left="720"/>
      <w:contextualSpacing/>
    </w:pPr>
  </w:style>
  <w:style w:type="character" w:styleId="Hyperlink">
    <w:name w:val="Hyperlink"/>
    <w:basedOn w:val="DefaultParagraphFont"/>
    <w:unhideWhenUsed/>
    <w:rsid w:val="000267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325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1404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1635</CharactersWithSpaces>
  <SharedDoc>false</SharedDoc>
  <HyperlinkBase>https://www.cabinet.qld.gov.au/documents/2018/Nov/ResSHRmod/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5</cp:revision>
  <dcterms:created xsi:type="dcterms:W3CDTF">2019-05-30T01:41:00Z</dcterms:created>
  <dcterms:modified xsi:type="dcterms:W3CDTF">2019-12-11T09:15:00Z</dcterms:modified>
  <cp:category>Mining,Workplace_Health_and_Safety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